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F4" w:rsidRDefault="00FF7A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7AF4" w:rsidRDefault="00FF7AF4">
      <w:pPr>
        <w:pStyle w:val="ConsPlusNormal"/>
        <w:outlineLvl w:val="0"/>
      </w:pPr>
    </w:p>
    <w:p w:rsidR="00FF7AF4" w:rsidRDefault="00FF7AF4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FF7AF4" w:rsidRDefault="00FF7AF4">
      <w:pPr>
        <w:pStyle w:val="ConsPlusNormal"/>
        <w:spacing w:before="300"/>
      </w:pPr>
      <w:r>
        <w:t>Республики Беларусь 2 июня 2022 г. N 8/38196</w:t>
      </w:r>
    </w:p>
    <w:p w:rsidR="00FF7AF4" w:rsidRDefault="00FF7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AF4" w:rsidRDefault="00FF7AF4">
      <w:pPr>
        <w:pStyle w:val="ConsPlusNormal"/>
      </w:pPr>
    </w:p>
    <w:p w:rsidR="00FF7AF4" w:rsidRDefault="00FF7AF4">
      <w:pPr>
        <w:pStyle w:val="ConsPlusTitle"/>
        <w:jc w:val="center"/>
      </w:pPr>
      <w:r>
        <w:t>ПОСТАНОВЛЕНИЕ МИНИСТЕРСТВА АРХИТЕКТУРЫ И СТРОИТЕЛЬСТВА РЕСПУБЛИКИ БЕЛАРУСЬ</w:t>
      </w:r>
    </w:p>
    <w:p w:rsidR="00FF7AF4" w:rsidRDefault="00FF7AF4">
      <w:pPr>
        <w:pStyle w:val="ConsPlusTitle"/>
        <w:jc w:val="center"/>
      </w:pPr>
      <w:r>
        <w:t>27 января 2022 г. N 11</w:t>
      </w:r>
    </w:p>
    <w:p w:rsidR="00FF7AF4" w:rsidRDefault="00FF7AF4">
      <w:pPr>
        <w:pStyle w:val="ConsPlusTitle"/>
        <w:jc w:val="center"/>
      </w:pPr>
    </w:p>
    <w:p w:rsidR="00FF7AF4" w:rsidRDefault="00FF7AF4">
      <w:pPr>
        <w:pStyle w:val="ConsPlusTitle"/>
        <w:jc w:val="center"/>
      </w:pPr>
      <w:r>
        <w:t>ОБ УТВЕРЖДЕНИИ РЕГЛАМЕНТА АДМИНИСТРАТИВНОЙ ПРОЦЕДУРЫ</w:t>
      </w:r>
    </w:p>
    <w:p w:rsidR="00FF7AF4" w:rsidRDefault="00FF7AF4">
      <w:pPr>
        <w:pStyle w:val="ConsPlusNormal"/>
      </w:pPr>
    </w:p>
    <w:p w:rsidR="00FF7AF4" w:rsidRDefault="00FF7AF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абзаца третьего пункта 3</w:t>
        </w:r>
      </w:hyperlink>
      <w:r>
        <w:t xml:space="preserve"> Указа Президента Республики Беларусь от 25 июня 2021 г. N 240 "Об административных процедурах, осуществляемых в отношении субъектов хозяйствования", </w:t>
      </w:r>
      <w:hyperlink r:id="rId6" w:history="1">
        <w:r>
          <w:rPr>
            <w:color w:val="0000FF"/>
          </w:rPr>
          <w:t>подпункта 5.6 пункта 5</w:t>
        </w:r>
      </w:hyperlink>
      <w:r>
        <w:t xml:space="preserve"> Положения о Министерстве архитектуры и строительства Республики Беларусь, утвержденного постановлением Совета Министров Республики Беларусь от 31 июля 2006 г. N 973, Министерство архитектуры и строительства Республики Беларусь ПОСТАНОВЛЯЕТ:</w:t>
      </w:r>
      <w:proofErr w:type="gramEnd"/>
    </w:p>
    <w:p w:rsidR="00FF7AF4" w:rsidRDefault="00FF7AF4">
      <w:pPr>
        <w:pStyle w:val="ConsPlusNormal"/>
        <w:spacing w:before="300"/>
        <w:ind w:firstLine="540"/>
        <w:jc w:val="both"/>
      </w:pPr>
      <w:r>
        <w:t xml:space="preserve">1. Утвердить </w:t>
      </w:r>
      <w:hyperlink w:anchor="P61" w:history="1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</w:t>
      </w:r>
      <w:hyperlink w:anchor="P13" w:history="1">
        <w:r>
          <w:rPr>
            <w:color w:val="0000FF"/>
          </w:rPr>
          <w:t>&lt;*&gt;</w:t>
        </w:r>
      </w:hyperlink>
      <w:r>
        <w:t xml:space="preserve"> </w:t>
      </w:r>
      <w:hyperlink r:id="rId7" w:history="1">
        <w:r>
          <w:rPr>
            <w:color w:val="0000FF"/>
          </w:rPr>
          <w:t>3.16.1</w:t>
        </w:r>
      </w:hyperlink>
      <w:r>
        <w:t xml:space="preserve"> "Получение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изменения" (прилагается).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--------------------------------</w:t>
      </w:r>
    </w:p>
    <w:p w:rsidR="00FF7AF4" w:rsidRDefault="00FF7AF4">
      <w:pPr>
        <w:pStyle w:val="ConsPlusNormal"/>
        <w:spacing w:before="300"/>
        <w:ind w:firstLine="540"/>
        <w:jc w:val="both"/>
      </w:pPr>
      <w:bookmarkStart w:id="0" w:name="P13"/>
      <w:bookmarkEnd w:id="0"/>
      <w:r>
        <w:t xml:space="preserve">&lt;*&gt; Для целей настоящего постановления под подпунктом понимается подпункт пункта единого </w:t>
      </w:r>
      <w:hyperlink r:id="rId8" w:history="1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FF7AF4" w:rsidRDefault="00FF7AF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F7A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AF4" w:rsidRDefault="00FF7AF4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AF4" w:rsidRDefault="00FF7AF4">
            <w:pPr>
              <w:pStyle w:val="ConsPlusNormal"/>
              <w:jc w:val="right"/>
            </w:pPr>
            <w:r>
              <w:t>Р.В.Пархамович</w:t>
            </w:r>
          </w:p>
        </w:tc>
      </w:tr>
    </w:tbl>
    <w:p w:rsidR="00FF7AF4" w:rsidRDefault="00FF7AF4">
      <w:pPr>
        <w:pStyle w:val="ConsPlusNormal"/>
        <w:jc w:val="both"/>
      </w:pPr>
    </w:p>
    <w:p w:rsidR="00FF7AF4" w:rsidRDefault="00FF7AF4">
      <w:pPr>
        <w:pStyle w:val="ConsPlusNonformat"/>
        <w:jc w:val="both"/>
      </w:pPr>
      <w:r>
        <w:t>СОГЛАСОВАНО</w:t>
      </w:r>
    </w:p>
    <w:p w:rsidR="00FF7AF4" w:rsidRDefault="00FF7AF4">
      <w:pPr>
        <w:pStyle w:val="ConsPlusNonformat"/>
        <w:jc w:val="both"/>
      </w:pPr>
      <w:r>
        <w:t>Министерство экономики</w:t>
      </w:r>
    </w:p>
    <w:p w:rsidR="00FF7AF4" w:rsidRDefault="00FF7AF4">
      <w:pPr>
        <w:pStyle w:val="ConsPlusNonformat"/>
        <w:jc w:val="both"/>
      </w:pPr>
      <w:r>
        <w:t>Республики Беларусь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Государственный комитет по имуществу</w:t>
      </w:r>
    </w:p>
    <w:p w:rsidR="00FF7AF4" w:rsidRDefault="00FF7AF4">
      <w:pPr>
        <w:pStyle w:val="ConsPlusNonformat"/>
        <w:jc w:val="both"/>
      </w:pPr>
      <w:r>
        <w:t>Республики Беларусь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Оперативно-аналитический центр</w:t>
      </w:r>
    </w:p>
    <w:p w:rsidR="00FF7AF4" w:rsidRDefault="00FF7AF4">
      <w:pPr>
        <w:pStyle w:val="ConsPlusNonformat"/>
        <w:jc w:val="both"/>
      </w:pPr>
      <w:r>
        <w:t>при Президенте Республики Беларусь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Брестский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Витебский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Гомельский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Гродненский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Минский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Минский городской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nformat"/>
        <w:jc w:val="both"/>
      </w:pPr>
    </w:p>
    <w:p w:rsidR="00FF7AF4" w:rsidRDefault="00FF7AF4">
      <w:pPr>
        <w:pStyle w:val="ConsPlusNonformat"/>
        <w:jc w:val="both"/>
      </w:pPr>
      <w:r>
        <w:t>Могилевский областной</w:t>
      </w:r>
    </w:p>
    <w:p w:rsidR="00FF7AF4" w:rsidRDefault="00FF7AF4">
      <w:pPr>
        <w:pStyle w:val="ConsPlusNonformat"/>
        <w:jc w:val="both"/>
      </w:pPr>
      <w:r>
        <w:t>исполнительный комитет</w:t>
      </w: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nformat"/>
        <w:jc w:val="both"/>
      </w:pPr>
      <w:r>
        <w:t xml:space="preserve">                                                УТВЕРЖДЕНО</w:t>
      </w:r>
    </w:p>
    <w:p w:rsidR="00FF7AF4" w:rsidRDefault="00FF7AF4">
      <w:pPr>
        <w:pStyle w:val="ConsPlusNonformat"/>
        <w:jc w:val="both"/>
      </w:pPr>
      <w:r>
        <w:t xml:space="preserve">                                                Постановление</w:t>
      </w:r>
    </w:p>
    <w:p w:rsidR="00FF7AF4" w:rsidRDefault="00FF7AF4">
      <w:pPr>
        <w:pStyle w:val="ConsPlusNonformat"/>
        <w:jc w:val="both"/>
      </w:pPr>
      <w:r>
        <w:t xml:space="preserve">                                                Министерства</w:t>
      </w:r>
    </w:p>
    <w:p w:rsidR="00FF7AF4" w:rsidRDefault="00FF7AF4">
      <w:pPr>
        <w:pStyle w:val="ConsPlusNonformat"/>
        <w:jc w:val="both"/>
      </w:pPr>
      <w:r>
        <w:t xml:space="preserve">                                                архитектуры и строительства</w:t>
      </w:r>
    </w:p>
    <w:p w:rsidR="00FF7AF4" w:rsidRDefault="00FF7AF4">
      <w:pPr>
        <w:pStyle w:val="ConsPlusNonformat"/>
        <w:jc w:val="both"/>
      </w:pPr>
      <w:r>
        <w:t xml:space="preserve">                                                Республики Беларусь</w:t>
      </w:r>
    </w:p>
    <w:p w:rsidR="00FF7AF4" w:rsidRDefault="00FF7AF4">
      <w:pPr>
        <w:pStyle w:val="ConsPlusNonformat"/>
        <w:jc w:val="both"/>
      </w:pPr>
      <w:r>
        <w:t xml:space="preserve">                                                27.01.2022 N 11</w:t>
      </w:r>
    </w:p>
    <w:p w:rsidR="00FF7AF4" w:rsidRDefault="00FF7AF4">
      <w:pPr>
        <w:pStyle w:val="ConsPlusNormal"/>
      </w:pPr>
    </w:p>
    <w:p w:rsidR="00FF7AF4" w:rsidRDefault="00FF7AF4">
      <w:pPr>
        <w:pStyle w:val="ConsPlusTitle"/>
        <w:jc w:val="center"/>
      </w:pPr>
      <w:bookmarkStart w:id="1" w:name="P61"/>
      <w:bookmarkEnd w:id="1"/>
      <w:r>
        <w:t>РЕГЛАМЕНТ</w:t>
      </w:r>
    </w:p>
    <w:p w:rsidR="00FF7AF4" w:rsidRDefault="00FF7AF4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3.16.1 "ПОЛУЧЕНИЕ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ИЗМЕНЕНИЯ"</w:t>
      </w:r>
    </w:p>
    <w:p w:rsidR="00FF7AF4" w:rsidRDefault="00FF7AF4">
      <w:pPr>
        <w:pStyle w:val="ConsPlusNormal"/>
      </w:pPr>
    </w:p>
    <w:p w:rsidR="00FF7AF4" w:rsidRDefault="00FF7AF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lastRenderedPageBreak/>
        <w:t>1.1. наименование уполномоченного органа (подведомственность административной процедуры) - местный исполнительный и распорядительный орган (далее - исполком);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F7AF4" w:rsidRDefault="00FF7AF4">
      <w:pPr>
        <w:pStyle w:val="ConsPlusNormal"/>
        <w:spacing w:before="300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Республики Беларусь от 28 октября 2008 г. N 433-З "Об основах административных процедур";</w:t>
      </w:r>
    </w:p>
    <w:p w:rsidR="00FF7AF4" w:rsidRDefault="00FF7AF4">
      <w:pPr>
        <w:pStyle w:val="ConsPlusNormal"/>
        <w:spacing w:before="30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FF7AF4" w:rsidRDefault="00FF7AF4">
      <w:pPr>
        <w:pStyle w:val="ConsPlusNormal"/>
        <w:spacing w:before="30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20 февраля 2007 г. N 223 "О некоторых мерах по совершенствованию архитектурной и строительной деятельности";</w:t>
      </w:r>
    </w:p>
    <w:p w:rsidR="00FF7AF4" w:rsidRDefault="00FF7AF4">
      <w:pPr>
        <w:pStyle w:val="ConsPlusNormal"/>
        <w:spacing w:before="30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1.3.1. уполномоченным органом проверка фактов государственной регистрации юридического лица или индивидуального предпринимателя, изменения наименования юридического лица осуществляется посредством веб-портала Единого государственного регистра юридических лиц и индивидуальных предпринимателей;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 xml:space="preserve">1.3.2. уполномоченным органом проверка информации об отсутствии у объекта недвижимого имущества статуса историко-культурной ценности (в случае сноса неиспользуемых объектов) </w:t>
      </w:r>
      <w:proofErr w:type="gramStart"/>
      <w:r>
        <w:t>осуществляется</w:t>
      </w:r>
      <w:proofErr w:type="gramEnd"/>
      <w:r>
        <w:t xml:space="preserve"> в том числе путем использования государственного информационного ресурса "Государственный список историко-культурных ценностей Республики Беларусь";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1.3.3. административные решения, принятые Минским городским, областными исполнительными комитетами, обжалуются в судебном порядке.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lastRenderedPageBreak/>
        <w:t>2. Документы и (или) сведения, необходимые для осуществления административной процедуры: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 xml:space="preserve">2.1. 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FF7AF4" w:rsidRDefault="00FF7AF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50"/>
        <w:gridCol w:w="3795"/>
        <w:gridCol w:w="2775"/>
      </w:tblGrid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предоставлении земельного участка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требованиям, определенным </w:t>
            </w:r>
            <w:hyperlink r:id="rId13" w:history="1">
              <w:r>
                <w:rPr>
                  <w:color w:val="0000FF"/>
                </w:rPr>
                <w:t>частью первой пункта 9</w:t>
              </w:r>
            </w:hyperlink>
            <w:r>
              <w:t xml:space="preserve"> или </w:t>
            </w:r>
            <w:hyperlink r:id="rId14" w:history="1">
              <w:r>
                <w:rPr>
                  <w:color w:val="0000FF"/>
                </w:rPr>
                <w:t>абзацем первым части первой пункта 12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объектов, утвержденного постановлением Совета Министров Республики Беларусь от 20 февраля 2007 г. N 223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обзорная схема размещения объекта строительства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должна соответствовать требованиям, определенным </w:t>
            </w:r>
            <w:hyperlink r:id="rId15" w:history="1">
              <w:r>
                <w:rPr>
                  <w:color w:val="0000FF"/>
                </w:rPr>
                <w:t>абзацем вторым части второй пункта 9</w:t>
              </w:r>
            </w:hyperlink>
            <w:r>
              <w:t xml:space="preserve"> или </w:t>
            </w:r>
            <w:hyperlink r:id="rId16" w:history="1">
              <w:r>
                <w:rPr>
                  <w:color w:val="0000FF"/>
                </w:rPr>
                <w:t>абзацем вторым части первой пункта 12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обоснование </w:t>
            </w:r>
            <w:r>
              <w:lastRenderedPageBreak/>
              <w:t>инвестиций в случаях, когда его разработка предусмотрена законодательством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lastRenderedPageBreak/>
              <w:t>при возведении, реконструкции, реставрации объекта на предоставленном земельном участке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требованиям, определенным </w:t>
            </w:r>
            <w:hyperlink r:id="rId17" w:history="1">
              <w:r>
                <w:rPr>
                  <w:color w:val="0000FF"/>
                </w:rPr>
                <w:t>абзацем первым части первой пункта 14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обзорная схема размещения объекта строительства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должна соответствовать требованиям, определенным </w:t>
            </w:r>
            <w:hyperlink r:id="rId18" w:history="1">
              <w:r>
                <w:rPr>
                  <w:color w:val="0000FF"/>
                </w:rPr>
                <w:t>абзацем вторым части первой пункта 14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согласие участников долевой собственности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согласие арендодателя (при осуществлении реконструкции арендатором)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обоснование инвестиций в </w:t>
            </w:r>
            <w:r>
              <w:lastRenderedPageBreak/>
              <w:t>случаях, когда его разработка предусмотрена законодательством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согласие залогодержателя (при наличии)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согласие землепользовател</w:t>
            </w:r>
            <w:proofErr w:type="gramStart"/>
            <w:r>
              <w:t>я(</w:t>
            </w:r>
            <w:proofErr w:type="gramEnd"/>
            <w:r>
              <w:t>ей) (при наличии)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сносе неиспользуемых объектов и иных объектов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требованиям, определенным </w:t>
            </w:r>
            <w:hyperlink r:id="rId19" w:history="1">
              <w:r>
                <w:rPr>
                  <w:color w:val="0000FF"/>
                </w:rPr>
                <w:t>частью первой пункта 19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обзорная схема размещения объекта строительства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должна соответствовать требованиям, определенным </w:t>
            </w:r>
            <w:hyperlink r:id="rId20" w:history="1">
              <w:r>
                <w:rPr>
                  <w:color w:val="0000FF"/>
                </w:rPr>
                <w:t>абзацем вторым части второй пункта 19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согласие собственника объекта, подлежащего сносу (в случае нахождения объекта в </w:t>
            </w:r>
            <w:r>
              <w:lastRenderedPageBreak/>
              <w:t>оперативном управлении, хозяйственном ведении)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согласие залогодержателя (при наличии)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согласие землепользовател</w:t>
            </w:r>
            <w:proofErr w:type="gramStart"/>
            <w:r>
              <w:t>я(</w:t>
            </w:r>
            <w:proofErr w:type="gramEnd"/>
            <w:r>
              <w:t>ей) (при наличии)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благоустройстве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 </w:t>
            </w:r>
            <w:hyperlink r:id="rId21" w:history="1">
              <w:r>
                <w:rPr>
                  <w:color w:val="0000FF"/>
                </w:rPr>
                <w:t>части первой пункта 5 статьи 14</w:t>
              </w:r>
            </w:hyperlink>
            <w: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обзорная схема размещения объекта строительства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должна соответствовать требованиям, определенным </w:t>
            </w:r>
            <w:hyperlink r:id="rId22" w:history="1">
              <w:r>
                <w:rPr>
                  <w:color w:val="0000FF"/>
                </w:rPr>
                <w:t>абзацем вторым части первой пункта 26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должна содержать предварительные сведения о технических, эксплуатационных, планировочных и иных параметрах объекта строительства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на установку зарядных станций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 </w:t>
            </w:r>
            <w:hyperlink r:id="rId23" w:history="1">
              <w:r>
                <w:rPr>
                  <w:color w:val="0000FF"/>
                </w:rPr>
                <w:t>части первой пункта 5 статьи 14</w:t>
              </w:r>
            </w:hyperlink>
            <w: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обзорная схема размещения </w:t>
            </w:r>
            <w:r>
              <w:lastRenderedPageBreak/>
              <w:t>зарядной станции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 xml:space="preserve">должна соответствовать требованиям, определенным </w:t>
            </w:r>
            <w:hyperlink r:id="rId24" w:history="1">
              <w:r>
                <w:rPr>
                  <w:color w:val="0000FF"/>
                </w:rPr>
                <w:t>абзацем вторым части первой пункта 34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должна содержать предварительные сведения о технических, эксплуатационных, планировочных и иных параметрах зарядных станций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согласие собственник</w:t>
            </w:r>
            <w:proofErr w:type="gramStart"/>
            <w:r>
              <w:t>а(</w:t>
            </w:r>
            <w:proofErr w:type="gramEnd"/>
            <w:r>
              <w:t>ов) капитального строения (здания, сооружения), его части, земельного участка на установку зарядной станции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 о выдаче решения о внесении изменений в разрешительную документацию на строительство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 </w:t>
            </w:r>
            <w:hyperlink r:id="rId25" w:history="1">
              <w:r>
                <w:rPr>
                  <w:color w:val="0000FF"/>
                </w:rPr>
                <w:t>части первой пункта 5 статьи 14</w:t>
              </w:r>
            </w:hyperlink>
            <w:r>
              <w:t xml:space="preserve"> Закона Республики Беларусь "Об основах административных процедур"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декларация о намерениях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должна содержать предварительные сведения о технических, эксплуатационных, планировочных и иных параметрах объекта строительства, зарядных </w:t>
            </w:r>
            <w:r>
              <w:lastRenderedPageBreak/>
              <w:t>станций</w:t>
            </w: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сопоставительная таблица изменения основных проектных решений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сопоставительная таблица изменений технико-экономических показателей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в случае смены заказчика и (или) его наименования, изменения адреса зарегистрированного объекта недвижимого имущества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заявление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должно соответствовать требованиям, определенным </w:t>
            </w:r>
            <w:hyperlink r:id="rId26" w:history="1">
              <w:r>
                <w:rPr>
                  <w:color w:val="0000FF"/>
                </w:rPr>
                <w:t>частью пятой пункта 8</w:t>
              </w:r>
            </w:hyperlink>
            <w:r>
              <w:t xml:space="preserve"> Положения о порядке подготовки и выдачи разрешительной документации на строительство объектов</w:t>
            </w:r>
          </w:p>
        </w:tc>
        <w:tc>
          <w:tcPr>
            <w:tcW w:w="27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в письменной форме:</w:t>
            </w:r>
          </w:p>
          <w:p w:rsidR="00FF7AF4" w:rsidRDefault="00FF7AF4">
            <w:pPr>
              <w:pStyle w:val="ConsPlusNormal"/>
            </w:pPr>
            <w:r>
              <w:t>в ходе приема заинтересованного лица;</w:t>
            </w:r>
          </w:p>
          <w:p w:rsidR="00FF7AF4" w:rsidRDefault="00FF7AF4">
            <w:pPr>
              <w:pStyle w:val="ConsPlusNormal"/>
            </w:pPr>
            <w:r>
              <w:t>нарочным (курьером);</w:t>
            </w:r>
          </w:p>
          <w:p w:rsidR="00FF7AF4" w:rsidRDefault="00FF7AF4">
            <w:pPr>
              <w:pStyle w:val="ConsPlusNormal"/>
            </w:pPr>
            <w:r>
              <w:t>по почте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договор купли-продажи объекта недвижимого имущества (при наличии)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акт приема-передачи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справка об изменении адреса (в случае изменения адреса объекта)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</w:p>
        </w:tc>
        <w:tc>
          <w:tcPr>
            <w:tcW w:w="2775" w:type="dxa"/>
            <w:vMerge/>
          </w:tcPr>
          <w:p w:rsidR="00FF7AF4" w:rsidRDefault="00FF7AF4"/>
        </w:tc>
      </w:tr>
    </w:tbl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2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8" w:history="1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FF7AF4" w:rsidRDefault="00FF7AF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10"/>
        <w:gridCol w:w="5310"/>
      </w:tblGrid>
      <w:tr w:rsidR="00FF7AF4">
        <w:tblPrEx>
          <w:tblCellMar>
            <w:top w:w="0" w:type="dxa"/>
            <w:bottom w:w="0" w:type="dxa"/>
          </w:tblCellMar>
        </w:tblPrEx>
        <w:tc>
          <w:tcPr>
            <w:tcW w:w="3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5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3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5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Единый государственный регистр недвижимого имущества, прав на него и сделок с ним</w:t>
            </w:r>
          </w:p>
        </w:tc>
      </w:tr>
    </w:tbl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FF7AF4" w:rsidRDefault="00FF7AF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10"/>
        <w:gridCol w:w="2730"/>
        <w:gridCol w:w="2280"/>
      </w:tblGrid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proofErr w:type="gramStart"/>
            <w: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</w:t>
            </w:r>
            <w:proofErr w:type="gramEnd"/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акт выбора места размещения земельного участка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до приемки в установленном порядке объекта в эксплуатацию либо до истечения сроков, установленных в разрешительной </w:t>
            </w:r>
            <w:r>
              <w:lastRenderedPageBreak/>
              <w:t>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архитектурно-планировочное задание (далее - АПЗ)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технические условия на инженерно-техническое обеспечение объекта (далее - </w:t>
            </w:r>
            <w:r>
              <w:lastRenderedPageBreak/>
              <w:t>ТУ)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 xml:space="preserve">технические требования (далее - </w:t>
            </w:r>
            <w:proofErr w:type="gramStart"/>
            <w:r>
              <w:t>ТТ</w:t>
            </w:r>
            <w:proofErr w:type="gramEnd"/>
            <w:r>
              <w:t>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об изъятии и предоставлении земельного участка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строительства объекта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 районными исполнительными комитетами) об изъятии и предоставлении земельного участка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АПЗ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ТУ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proofErr w:type="gramStart"/>
            <w:r>
              <w:t>ТТ</w:t>
            </w:r>
            <w:proofErr w:type="gramEnd"/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- аукцион)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градостроительный паспорт земельного участка (далее - </w:t>
            </w:r>
            <w:r>
              <w:lastRenderedPageBreak/>
              <w:t>градостроительный паспорт)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 xml:space="preserve">до приемки в установленном </w:t>
            </w:r>
            <w:r>
              <w:lastRenderedPageBreak/>
              <w:t>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градостроительный паспорт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акт выбора места размещения земельного участка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об изъятии и предоставлении земельного участка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строительства объекта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возведении, реконструкции, реставрации объекта на предоставленном земельном участке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АПЗ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ТУ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proofErr w:type="gramStart"/>
            <w:r>
              <w:t>ТТ</w:t>
            </w:r>
            <w:proofErr w:type="gramEnd"/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сносе неиспользуемых объектов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сноса объекта с указанием в таком решении необходимости разработки проектной документации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согласование исполкомом порядка, способа сноса неиспользуемого объекта, порядка обращения с материалами и отходами, образующимися при сносе неиспользуемого объекта, и порядка восстановления плодородия нарушенных земель и вовлечения их в хозяйственный оборот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сносе иных объектов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благоустройстве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разрешении проведения проектных и изыскательских работ, строительства объекта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АПЗ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ТУ (при подключении к объектам инженерной инфраструктуры)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proofErr w:type="gramStart"/>
            <w:r>
              <w:t>ТТ</w:t>
            </w:r>
            <w:proofErr w:type="gramEnd"/>
            <w:r>
              <w:t xml:space="preserve"> (при необходимости)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внесении изменения в разрешительную документацию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 внесении изменения в разрешительную документацию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решение исполкома об отказе во внесении изменения в разрешительную документацию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  <w:jc w:val="center"/>
            </w:pPr>
            <w:r>
              <w:t>при установке зарядных станций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 xml:space="preserve">решение исполкома о </w:t>
            </w:r>
            <w:r>
              <w:lastRenderedPageBreak/>
              <w:t>разрешении проведения проектных и изыскательских работ на строительство в целях установки зарядных станций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 xml:space="preserve">до приемки в </w:t>
            </w:r>
            <w:r>
              <w:lastRenderedPageBreak/>
              <w:t>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письменная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lastRenderedPageBreak/>
              <w:t>схема размещения объекта строительства (зарядных станций)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ТУ</w:t>
            </w:r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proofErr w:type="gramStart"/>
            <w:r>
              <w:t>ТТ</w:t>
            </w:r>
            <w:proofErr w:type="gramEnd"/>
          </w:p>
        </w:tc>
        <w:tc>
          <w:tcPr>
            <w:tcW w:w="2730" w:type="dxa"/>
            <w:vMerge/>
          </w:tcPr>
          <w:p w:rsidR="00FF7AF4" w:rsidRDefault="00FF7AF4"/>
        </w:tc>
        <w:tc>
          <w:tcPr>
            <w:tcW w:w="2280" w:type="dxa"/>
            <w:vMerge/>
          </w:tcPr>
          <w:p w:rsidR="00FF7AF4" w:rsidRDefault="00FF7AF4"/>
        </w:tc>
      </w:tr>
    </w:tbl>
    <w:p w:rsidR="00FF7AF4" w:rsidRDefault="00FF7AF4">
      <w:pPr>
        <w:pStyle w:val="ConsPlusNormal"/>
        <w:ind w:firstLine="540"/>
        <w:jc w:val="both"/>
      </w:pPr>
    </w:p>
    <w:p w:rsidR="00FF7AF4" w:rsidRDefault="00FF7AF4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плата за услуги, сформированная с учетом следующих экономически обоснованных затрат: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государственный внебюджетный фонд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FF7AF4" w:rsidRDefault="00FF7AF4">
      <w:pPr>
        <w:pStyle w:val="ConsPlusNormal"/>
        <w:spacing w:before="300"/>
        <w:ind w:firstLine="540"/>
        <w:jc w:val="both"/>
      </w:pPr>
      <w:proofErr w:type="gramStart"/>
      <w:r>
        <w:t>материалы, используемые при оказании услуг (работ) при осуществлении административной процедуры;</w:t>
      </w:r>
      <w:proofErr w:type="gramEnd"/>
    </w:p>
    <w:p w:rsidR="00FF7AF4" w:rsidRDefault="00FF7AF4">
      <w:pPr>
        <w:pStyle w:val="ConsPlusNormal"/>
        <w:spacing w:before="300"/>
        <w:ind w:firstLine="540"/>
        <w:jc w:val="both"/>
      </w:pPr>
      <w:r>
        <w:t>иные затраты, непосредственно связанные с оказанием услуг (работ)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коммунальные услуги;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услуги связи;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иные услуги сторонних организаций (в том числе охрана, текущий ремонт и обслуживание оргтехники);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командировочные расходы;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 xml:space="preserve"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</w:t>
      </w:r>
      <w:r>
        <w:lastRenderedPageBreak/>
        <w:t>государственный внебюджетный фонд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FF7AF4" w:rsidRDefault="00FF7AF4">
      <w:pPr>
        <w:pStyle w:val="ConsPlusNormal"/>
        <w:spacing w:before="300"/>
        <w:ind w:firstLine="540"/>
        <w:jc w:val="both"/>
      </w:pPr>
      <w:r>
        <w:t>5. Порядок подачи (отзыва) административной жалобы:</w:t>
      </w:r>
    </w:p>
    <w:p w:rsidR="00FF7AF4" w:rsidRDefault="00FF7AF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25"/>
        <w:gridCol w:w="2895"/>
      </w:tblGrid>
      <w:tr w:rsidR="00FF7AF4">
        <w:tblPrEx>
          <w:tblCellMar>
            <w:top w:w="0" w:type="dxa"/>
            <w:bottom w:w="0" w:type="dxa"/>
          </w:tblCellMar>
        </w:tblPrEx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AF4" w:rsidRDefault="00FF7AF4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FF7AF4">
        <w:tblPrEx>
          <w:tblCellMar>
            <w:top w:w="0" w:type="dxa"/>
            <w:bottom w:w="0" w:type="dxa"/>
          </w:tblCellMar>
        </w:tblPrEx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местный исполнительный и распорядительный орган базового территориального уровня - по административному решению, принятому соответствующим местным исполнительным и распорядительным органом первичного территориального уровня;</w:t>
            </w:r>
          </w:p>
          <w:p w:rsidR="00FF7AF4" w:rsidRDefault="00FF7AF4">
            <w:pPr>
              <w:pStyle w:val="ConsPlusNormal"/>
            </w:pPr>
            <w:r>
              <w:t>областной исполнительный комитет - по административному решению, принятому соответствующим местным исполнительным и 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AF4" w:rsidRDefault="00FF7AF4">
            <w:pPr>
              <w:pStyle w:val="ConsPlusNormal"/>
            </w:pPr>
            <w:r>
              <w:t>письменная</w:t>
            </w:r>
          </w:p>
        </w:tc>
      </w:tr>
    </w:tbl>
    <w:p w:rsidR="00FF7AF4" w:rsidRDefault="00FF7AF4">
      <w:pPr>
        <w:pStyle w:val="ConsPlusNormal"/>
      </w:pPr>
    </w:p>
    <w:p w:rsidR="00FF7AF4" w:rsidRDefault="00FF7AF4">
      <w:pPr>
        <w:pStyle w:val="ConsPlusNormal"/>
      </w:pPr>
    </w:p>
    <w:p w:rsidR="00FF7AF4" w:rsidRDefault="00FF7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A3A" w:rsidRPr="00FF7AF4" w:rsidRDefault="00416A3A">
      <w:pPr>
        <w:rPr>
          <w:lang w:val="en-US"/>
        </w:rPr>
      </w:pPr>
    </w:p>
    <w:sectPr w:rsidR="00416A3A" w:rsidRPr="00FF7AF4" w:rsidSect="0077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F7AF4"/>
    <w:rsid w:val="00047FF3"/>
    <w:rsid w:val="00416A3A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AF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F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7AF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F7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C35A00DF215D4569EC9400EE05A42004EE48138CF38C9D157A56F3B651154CEDFB0B89429DF59A25AC52A504089BBAF17AFA709F87A2B382FAF7FDEaFw9M" TargetMode="External"/><Relationship Id="rId13" Type="http://schemas.openxmlformats.org/officeDocument/2006/relationships/hyperlink" Target="consultantplus://offline/ref=3EBC35A00DF215D4569EC9400EE05A42004EE48138CF38C8D45FA36F3B651154CEDFB0B89429DF59A25AC42B594689BBAF17AFA709F87A2B382FAF7FDEaFw9M" TargetMode="External"/><Relationship Id="rId18" Type="http://schemas.openxmlformats.org/officeDocument/2006/relationships/hyperlink" Target="consultantplus://offline/ref=3EBC35A00DF215D4569EC9400EE05A42004EE48138CF38C8D45FA36F3B651154CEDFB0B89429DF59A25AC42B5B4489BBAF17AFA709F87A2B382FAF7FDEaFw9M" TargetMode="External"/><Relationship Id="rId26" Type="http://schemas.openxmlformats.org/officeDocument/2006/relationships/hyperlink" Target="consultantplus://offline/ref=3EBC35A00DF215D4569EC9400EE05A42004EE48138CF38C8D45FA36F3B651154CEDFB0B89429DF59A25AC42B584489BBAF17AFA709F87A2B382FAF7FDEaFw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C35A00DF215D4569EC9400EE05A42004EE48138CF34CDD65AA06F3B651154CEDFB0B89429DF59A25AC52E5F4089BBAF17AFA709F87A2B382FAF7FDEaFw9M" TargetMode="External"/><Relationship Id="rId7" Type="http://schemas.openxmlformats.org/officeDocument/2006/relationships/hyperlink" Target="consultantplus://offline/ref=3EBC35A00DF215D4569EC9400EE05A42004EE48138CF38C9D157A56F3B651154CEDFB0B89429DF59A25AC22A5F4F89BBAF17AFA709F87A2B382FAF7FDEaFw9M" TargetMode="External"/><Relationship Id="rId12" Type="http://schemas.openxmlformats.org/officeDocument/2006/relationships/hyperlink" Target="consultantplus://offline/ref=3EBC35A00DF215D4569EC9400EE05A42004EE48138CF38C9D157A56F3B651154CEDFB0B8943BDF01AE5ACC3458419CEDFE51aFw8M" TargetMode="External"/><Relationship Id="rId17" Type="http://schemas.openxmlformats.org/officeDocument/2006/relationships/hyperlink" Target="consultantplus://offline/ref=3EBC35A00DF215D4569EC9400EE05A42004EE48138CF38C8D45FA36F3B651154CEDFB0B89429DF59A25AC42B5B4589BBAF17AFA709F87A2B382FAF7FDEaFw9M" TargetMode="External"/><Relationship Id="rId25" Type="http://schemas.openxmlformats.org/officeDocument/2006/relationships/hyperlink" Target="consultantplus://offline/ref=3EBC35A00DF215D4569EC9400EE05A42004EE48138CF34CDD65AA06F3B651154CEDFB0B89429DF59A25AC52E5F4089BBAF17AFA709F87A2B382FAF7FDEaFw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C35A00DF215D4569EC9400EE05A42004EE48138CF38C8D45FA36F3B651154CEDFB0B89429DF59A25AC42B5A4289BBAF17AFA709F87A2B382FAF7FDEaFw9M" TargetMode="External"/><Relationship Id="rId20" Type="http://schemas.openxmlformats.org/officeDocument/2006/relationships/hyperlink" Target="consultantplus://offline/ref=3EBC35A00DF215D4569EC9400EE05A42004EE48138CF38C8D45FA36F3B651154CEDFB0B89429DF59A25AC42B5D4289BBAF17AFA709F87A2B382FAF7FDEaFw9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C35A00DF215D4569EC9400EE05A42004EE48138CF38C9DE59AD6F3B651154CEDFB0B89429DF59A25AC528514189BBAF17AFA709F87A2B382FAF7FDEaFw9M" TargetMode="External"/><Relationship Id="rId11" Type="http://schemas.openxmlformats.org/officeDocument/2006/relationships/hyperlink" Target="consultantplus://offline/ref=3EBC35A00DF215D4569EC9400EE05A42004EE48138CF38C8D45FA36F3B651154CEDFB0B8943BDF01AE5ACC3458419CEDFE51aFw8M" TargetMode="External"/><Relationship Id="rId24" Type="http://schemas.openxmlformats.org/officeDocument/2006/relationships/hyperlink" Target="consultantplus://offline/ref=3EBC35A00DF215D4569EC9400EE05A42004EE48138CF38C8D45FA36F3B651154CEDFB0B89429DF59A25AC42B514289BBAF17AFA709F87A2B382FAF7FDEaFw9M" TargetMode="External"/><Relationship Id="rId5" Type="http://schemas.openxmlformats.org/officeDocument/2006/relationships/hyperlink" Target="consultantplus://offline/ref=3EBC35A00DF215D4569EC9400EE05A42004EE48138CF36CBD55AA06F3B651154CEDFB0B89429DF59A25AC52A5A4289BBAF17AFA709F87A2B382FAF7FDEaFw9M" TargetMode="External"/><Relationship Id="rId15" Type="http://schemas.openxmlformats.org/officeDocument/2006/relationships/hyperlink" Target="consultantplus://offline/ref=3EBC35A00DF215D4569EC9400EE05A42004EE48138CF38C8D45FA36F3B651154CEDFB0B89429DF59A25AC42B594489BBAF17AFA709F87A2B382FAF7FDEaFw9M" TargetMode="External"/><Relationship Id="rId23" Type="http://schemas.openxmlformats.org/officeDocument/2006/relationships/hyperlink" Target="consultantplus://offline/ref=3EBC35A00DF215D4569EC9400EE05A42004EE48138CF34CDD65AA06F3B651154CEDFB0B89429DF59A25AC52E5F4089BBAF17AFA709F87A2B382FAF7FDEaFw9M" TargetMode="External"/><Relationship Id="rId28" Type="http://schemas.openxmlformats.org/officeDocument/2006/relationships/hyperlink" Target="consultantplus://offline/ref=3EBC35A00DF215D4569EC9400EE05A42004EE48138CF34CDD65AA06F3B651154CEDFB0B89429DF59A25AC52F584289BBAF17AFA709F87A2B382FAF7FDEaFw9M" TargetMode="External"/><Relationship Id="rId10" Type="http://schemas.openxmlformats.org/officeDocument/2006/relationships/hyperlink" Target="consultantplus://offline/ref=3EBC35A00DF215D4569EC9400EE05A42004EE48138CF36CBD55AA06F3B651154CEDFB0B8943BDF01AE5ACC3458419CEDFE51aFw8M" TargetMode="External"/><Relationship Id="rId19" Type="http://schemas.openxmlformats.org/officeDocument/2006/relationships/hyperlink" Target="consultantplus://offline/ref=3EBC35A00DF215D4569EC9400EE05A42004EE48138CF38C8D45FA36F3B651154CEDFB0B89429DF59A25AC42B5D4489BBAF17AFA709F87A2B382FAF7FDEaFw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BC35A00DF215D4569EC9400EE05A42004EE48138CF34CDD65AA06F3B651154CEDFB0B8943BDF01AE5ACC3458419CEDFE51aFw8M" TargetMode="External"/><Relationship Id="rId14" Type="http://schemas.openxmlformats.org/officeDocument/2006/relationships/hyperlink" Target="consultantplus://offline/ref=3EBC35A00DF215D4569EC9400EE05A42004EE48138CF38C8D45FA36F3B651154CEDFB0B89429DF59A25AC42B5A4389BBAF17AFA709F87A2B382FAF7FDEaFw9M" TargetMode="External"/><Relationship Id="rId22" Type="http://schemas.openxmlformats.org/officeDocument/2006/relationships/hyperlink" Target="consultantplus://offline/ref=3EBC35A00DF215D4569EC9400EE05A42004EE48138CF38C8D45FA36F3B651154CEDFB0B89429DF59A25AC42B5F4289BBAF17AFA709F87A2B382FAF7FDEaFw9M" TargetMode="External"/><Relationship Id="rId27" Type="http://schemas.openxmlformats.org/officeDocument/2006/relationships/hyperlink" Target="consultantplus://offline/ref=3EBC35A00DF215D4569EC9400EE05A42004EE48138CF34CDD65AA06F3B651154CEDFB0B89429DF59A25AC52F584789BBAF17AFA709F87A2B382FAF7FDEaFw9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3539</Words>
  <Characters>20177</Characters>
  <Application>Microsoft Office Word</Application>
  <DocSecurity>0</DocSecurity>
  <Lines>168</Lines>
  <Paragraphs>47</Paragraphs>
  <ScaleCrop>false</ScaleCrop>
  <Company/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1</cp:revision>
  <dcterms:created xsi:type="dcterms:W3CDTF">2022-06-09T12:48:00Z</dcterms:created>
  <dcterms:modified xsi:type="dcterms:W3CDTF">2022-06-09T12:48:00Z</dcterms:modified>
</cp:coreProperties>
</file>